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bookmarkStart w:id="0" w:name="_GoBack"/>
      <w:bookmarkEnd w:id="0"/>
      <w:r>
        <w:rPr>
          <w:rFonts w:ascii="Arial" w:hAnsi="Arial" w:cs="Arial"/>
          <w:b/>
          <w:sz w:val="24"/>
          <w:szCs w:val="24"/>
        </w:rPr>
        <w:t>3GPP TSG RAN meeting #86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RP-192654</w:t>
      </w:r>
    </w:p>
    <w:p>
      <w:pPr>
        <w:tabs>
          <w:tab w:val="left" w:pos="567"/>
        </w:tabs>
        <w:rPr>
          <w:rFonts w:ascii="Arial" w:hAnsi="Arial" w:cs="Arial"/>
          <w:b/>
          <w:sz w:val="24"/>
        </w:rPr>
      </w:pPr>
      <w:r>
        <w:rPr>
          <w:rFonts w:ascii="Arial" w:hAnsi="Arial" w:cs="Arial"/>
          <w:b/>
          <w:sz w:val="24"/>
        </w:rPr>
        <w:t>Sitges, Spain, December 9-12, 2019</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9.5.8</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Addition of wider channel bandwidths in NR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Yes</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hint="eastAsia"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NR_n28_BW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850066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eastAsiaTheme="minorEastAsia"/>
                <w:lang w:eastAsia="zh-CN"/>
              </w:rPr>
            </w:pPr>
            <w:r>
              <w:rPr>
                <w:rFonts w:hint="eastAsia" w:ascii="Arial" w:hAnsi="Arial" w:cs="Arial" w:eastAsiaTheme="minorEastAsia"/>
                <w:lang w:eastAsia="zh-CN"/>
              </w:rPr>
              <w:t>RP-192261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 03/2020</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 03/2020</w:t>
            </w:r>
          </w:p>
        </w:tc>
        <w:tc>
          <w:tcPr>
            <w:tcW w:w="1694" w:type="dxa"/>
            <w:gridSpan w:val="2"/>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p>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lang w:eastAsia="ja-JP"/>
              </w:rPr>
            </w:pPr>
            <w:r>
              <w:rPr>
                <w:rFonts w:ascii="Arial" w:hAnsi="Arial" w:cs="Arial"/>
                <w:color w:val="000000" w:themeColor="text1"/>
                <w:lang w:eastAsia="ja-JP"/>
                <w14:textFill>
                  <w14:solidFill>
                    <w14:schemeClr w14:val="tx1"/>
                  </w14:solidFill>
                </w14:textFill>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lang w:eastAsia="ja-JP"/>
              </w:rPr>
              <w:t>60%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60%</w:t>
            </w:r>
          </w:p>
        </w:tc>
        <w:tc>
          <w:tcPr>
            <w:tcW w:w="1694" w:type="dxa"/>
            <w:gridSpan w:val="2"/>
          </w:tcPr>
          <w:p>
            <w:pPr>
              <w:tabs>
                <w:tab w:val="left" w:pos="567"/>
              </w:tabs>
              <w:spacing w:after="0"/>
              <w:rPr>
                <w:rFonts w:ascii="Arial" w:hAnsi="Arial" w:cs="Arial"/>
                <w:lang w:eastAsia="ja-JP"/>
              </w:rPr>
            </w:pPr>
            <w:r>
              <w:rPr>
                <w:rFonts w:ascii="Arial" w:hAnsi="Arial" w:cs="Arial"/>
                <w:lang w:eastAsia="ja-JP"/>
              </w:rPr>
              <w:t>Testing part:</w:t>
            </w:r>
          </w:p>
          <w:p>
            <w:pPr>
              <w:tabs>
                <w:tab w:val="left" w:pos="567"/>
              </w:tabs>
              <w:spacing w:after="0"/>
              <w:rPr>
                <w:rFonts w:ascii="Arial" w:hAnsi="Arial" w:cs="Arial"/>
                <w:highlight w:val="yellow"/>
                <w:lang w:eastAsia="ja-JP"/>
              </w:rPr>
            </w:pPr>
            <w:r>
              <w:rPr>
                <w:rFonts w:ascii="Arial" w:hAnsi="Arial" w:cs="Arial"/>
                <w:color w:val="000000" w:themeColor="text1"/>
                <w:lang w:eastAsia="ja-JP"/>
                <w14:textFill>
                  <w14:solidFill>
                    <w14:schemeClr w14:val="tx1"/>
                  </w14:solidFill>
                </w14:textFill>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4"/>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49" w:type="dxa"/>
            <w:gridSpan w:val="2"/>
          </w:tcPr>
          <w:p>
            <w:pPr>
              <w:tabs>
                <w:tab w:val="left" w:pos="567"/>
              </w:tabs>
              <w:spacing w:after="0"/>
              <w:rPr>
                <w:rFonts w:ascii="Arial" w:hAnsi="Arial" w:cs="Arial"/>
                <w:b/>
              </w:rPr>
            </w:pPr>
            <w:r>
              <w:rPr>
                <w:rFonts w:ascii="Arial" w:hAnsi="Arial" w:cs="Arial"/>
                <w:b/>
              </w:rPr>
              <w:t>Leading WG</w:t>
            </w:r>
          </w:p>
        </w:tc>
        <w:tc>
          <w:tcPr>
            <w:tcW w:w="7337" w:type="dxa"/>
          </w:tcPr>
          <w:p>
            <w:pPr>
              <w:tabs>
                <w:tab w:val="left" w:pos="567"/>
              </w:tabs>
              <w:spacing w:after="0"/>
              <w:rPr>
                <w:rFonts w:hint="eastAsia" w:ascii="Arial" w:hAnsi="Arial" w:cs="Arial" w:eastAsiaTheme="minorEastAsia"/>
                <w:color w:val="FF0000"/>
                <w:lang w:eastAsia="zh-CN"/>
              </w:rPr>
            </w:pPr>
            <w:r>
              <w:rPr>
                <w:rFonts w:hint="default" w:ascii="Arial" w:hAnsi="Arial" w:cs="Arial" w:eastAsiaTheme="minorEastAsia"/>
                <w:color w:val="000000" w:themeColor="text1"/>
                <w:lang w:eastAsia="zh-CN"/>
                <w14:textFill>
                  <w14:solidFill>
                    <w14:schemeClr w14:val="tx1"/>
                  </w14:solidFill>
                </w14:textFill>
              </w:rPr>
              <w:t>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4" w:type="dxa"/>
          </w:tcPr>
          <w:p>
            <w:pPr>
              <w:tabs>
                <w:tab w:val="left" w:pos="567"/>
              </w:tabs>
              <w:spacing w:after="0"/>
              <w:rPr>
                <w:rFonts w:ascii="Arial" w:hAnsi="Arial" w:cs="Arial"/>
                <w:b/>
              </w:rPr>
            </w:pPr>
            <w:r>
              <w:rPr>
                <w:rFonts w:ascii="Arial" w:hAnsi="Arial" w:cs="Arial"/>
                <w:b/>
              </w:rPr>
              <w:t>Name</w:t>
            </w:r>
          </w:p>
        </w:tc>
        <w:tc>
          <w:tcPr>
            <w:tcW w:w="7337" w:type="dxa"/>
          </w:tcPr>
          <w:p>
            <w:pPr>
              <w:tabs>
                <w:tab w:val="left" w:pos="567"/>
              </w:tabs>
              <w:spacing w:after="0"/>
              <w:rPr>
                <w:rFonts w:ascii="Arial" w:hAnsi="Arial" w:cs="Arial"/>
                <w:lang w:eastAsia="ja-JP"/>
              </w:rPr>
            </w:pPr>
            <w:r>
              <w:rPr>
                <w:rFonts w:ascii="Arial" w:hAnsi="Arial" w:cs="Arial"/>
                <w:lang w:eastAsia="ja-JP"/>
              </w:rPr>
              <w:t>Shuang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5" w:type="dxa"/>
            <w:vMerge w:val="continue"/>
          </w:tcPr>
          <w:p>
            <w:pPr>
              <w:tabs>
                <w:tab w:val="left" w:pos="567"/>
              </w:tabs>
              <w:rPr>
                <w:rFonts w:ascii="Arial" w:hAnsi="Arial" w:cs="Arial"/>
                <w:b/>
              </w:rPr>
            </w:pPr>
          </w:p>
        </w:tc>
        <w:tc>
          <w:tcPr>
            <w:tcW w:w="1334" w:type="dxa"/>
          </w:tcPr>
          <w:p>
            <w:pPr>
              <w:tabs>
                <w:tab w:val="left" w:pos="567"/>
              </w:tabs>
              <w:spacing w:after="0"/>
              <w:rPr>
                <w:rFonts w:ascii="Arial" w:hAnsi="Arial" w:cs="Arial"/>
                <w:b/>
              </w:rPr>
            </w:pPr>
            <w:r>
              <w:rPr>
                <w:rFonts w:ascii="Arial" w:hAnsi="Arial" w:cs="Arial"/>
                <w:b/>
              </w:rPr>
              <w:t>Company</w:t>
            </w:r>
          </w:p>
        </w:tc>
        <w:tc>
          <w:tcPr>
            <w:tcW w:w="7337" w:type="dxa"/>
          </w:tcPr>
          <w:p>
            <w:pPr>
              <w:tabs>
                <w:tab w:val="left" w:pos="567"/>
              </w:tabs>
              <w:spacing w:after="0"/>
              <w:rPr>
                <w:rFonts w:ascii="Arial" w:hAnsi="Arial" w:cs="Arial"/>
                <w:lang w:eastAsia="ja-JP"/>
              </w:rPr>
            </w:pPr>
            <w:r>
              <w:rPr>
                <w:rFonts w:ascii="Arial" w:hAnsi="Arial" w:cs="Arial"/>
                <w:lang w:eastAsia="ja-JP"/>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5" w:type="dxa"/>
            <w:vMerge w:val="continue"/>
          </w:tcPr>
          <w:p>
            <w:pPr>
              <w:tabs>
                <w:tab w:val="left" w:pos="567"/>
              </w:tabs>
              <w:rPr>
                <w:rFonts w:ascii="Arial" w:hAnsi="Arial" w:cs="Arial"/>
                <w:b/>
              </w:rPr>
            </w:pPr>
          </w:p>
        </w:tc>
        <w:tc>
          <w:tcPr>
            <w:tcW w:w="1334" w:type="dxa"/>
          </w:tcPr>
          <w:p>
            <w:pPr>
              <w:tabs>
                <w:tab w:val="left" w:pos="567"/>
              </w:tabs>
              <w:spacing w:after="0"/>
              <w:rPr>
                <w:rFonts w:ascii="Arial" w:hAnsi="Arial" w:cs="Arial"/>
                <w:b/>
              </w:rPr>
            </w:pPr>
            <w:r>
              <w:rPr>
                <w:rFonts w:ascii="Arial" w:hAnsi="Arial" w:cs="Arial"/>
                <w:b/>
              </w:rPr>
              <w:t>Email</w:t>
            </w:r>
          </w:p>
        </w:tc>
        <w:tc>
          <w:tcPr>
            <w:tcW w:w="7337" w:type="dxa"/>
          </w:tcPr>
          <w:p>
            <w:pPr>
              <w:tabs>
                <w:tab w:val="left" w:pos="567"/>
              </w:tabs>
              <w:spacing w:after="0"/>
              <w:rPr>
                <w:rFonts w:ascii="Arial" w:hAnsi="Arial" w:cs="Arial"/>
              </w:rPr>
            </w:pPr>
            <w:r>
              <w:rPr>
                <w:rFonts w:ascii="Arial" w:hAnsi="Arial" w:cs="Arial"/>
              </w:rPr>
              <w:t>lishuang@cbn.cn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8"/>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000000" w:themeColor="text1"/>
                <w:lang w:eastAsia="ja-JP"/>
                <w14:textFill>
                  <w14:solidFill>
                    <w14:schemeClr w14:val="tx1"/>
                  </w14:solidFill>
                </w14:textFill>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lang w:eastAsia="ja-JP"/>
        </w:rPr>
      </w:pPr>
      <w:r>
        <w:rPr>
          <w:lang w:eastAsia="ja-JP"/>
        </w:rPr>
        <w:t>During the R4#92bis meeting, Work plan was agreed [1]. TR 38.888 v0.0.1 was agreed [2]. WF for 30MHz channel bandwidth for band n28 was agreed [8].</w:t>
      </w:r>
    </w:p>
    <w:p>
      <w:pPr>
        <w:rPr>
          <w:rFonts w:hint="eastAsia" w:eastAsia="Yu Mincho"/>
          <w:lang w:eastAsia="ja-JP"/>
        </w:rPr>
      </w:pPr>
      <w:r>
        <w:rPr>
          <w:lang w:eastAsia="ja-JP"/>
        </w:rPr>
        <w:t>During the R4#93 meeting, BS-BS co-existence analysis was agreed [27]. It’s agreed that 30MHz and 40MHz channel bandwidth will be introduced into the spec [29]. UE spurious emission requirements for band n28 were approved [12]. Delta MPR will be introduced for band n28 30MHz [19]. Some last agreements were introduced into the TR [21] [22].</w:t>
      </w:r>
    </w:p>
    <w:p>
      <w:pPr>
        <w:pStyle w:val="5"/>
        <w:rPr>
          <w:lang w:eastAsia="ja-JP"/>
        </w:rPr>
      </w:pPr>
      <w:r>
        <w:rPr>
          <w:lang w:eastAsia="ja-JP"/>
        </w:rPr>
        <w:t>2.4.2</w:t>
      </w:r>
      <w:r>
        <w:rPr>
          <w:lang w:eastAsia="ja-JP"/>
        </w:rPr>
        <w:tab/>
      </w:r>
      <w:r>
        <w:rPr>
          <w:lang w:eastAsia="ja-JP"/>
        </w:rPr>
        <w:t>Remaining Open issues</w:t>
      </w:r>
    </w:p>
    <w:p>
      <w:pPr>
        <w:rPr>
          <w:rFonts w:eastAsia="Yu Mincho"/>
          <w:lang w:eastAsia="ja-JP"/>
        </w:rPr>
      </w:pPr>
      <w:r>
        <w:rPr>
          <w:rFonts w:eastAsia="Yu Mincho"/>
          <w:lang w:eastAsia="ja-JP"/>
        </w:rPr>
        <w:t>Finalizing REFSENS, MPR and A-MPR requirements for band n28 30MHz UE.</w:t>
      </w:r>
    </w:p>
    <w:p>
      <w:pPr>
        <w:rPr>
          <w:rFonts w:hint="eastAsia" w:eastAsia="Yu Mincho"/>
          <w:lang w:eastAsia="ja-JP"/>
        </w:rPr>
      </w:pPr>
      <w:r>
        <w:rPr>
          <w:rFonts w:eastAsia="Yu Mincho"/>
          <w:lang w:eastAsia="ja-JP"/>
        </w:rPr>
        <w:t>Finalize CRs to capture all necessary changes.</w:t>
      </w:r>
    </w:p>
    <w:p>
      <w:pPr>
        <w:rPr>
          <w:rFonts w:hint="eastAsia" w:eastAsia="Yu Mincho"/>
          <w:lang w:eastAsia="ja-JP"/>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bCs/>
          <w:lang w:eastAsia="ja-JP"/>
        </w:rPr>
      </w:pPr>
      <w:r>
        <w:rPr>
          <w:bCs/>
          <w:lang w:eastAsia="ja-JP"/>
        </w:rPr>
        <w:t>R4#92bis, Chongqing</w:t>
      </w:r>
    </w:p>
    <w:p>
      <w:pPr>
        <w:overflowPunct/>
        <w:autoSpaceDE/>
        <w:autoSpaceDN/>
        <w:snapToGrid w:val="0"/>
        <w:spacing w:after="0"/>
        <w:textAlignment w:val="auto"/>
        <w:rPr>
          <w:bCs/>
          <w:lang w:eastAsia="ja-JP"/>
        </w:rPr>
      </w:pPr>
      <w:r>
        <w:rPr>
          <w:bCs/>
          <w:lang w:eastAsia="ja-JP"/>
        </w:rPr>
        <w:t>[1]</w:t>
      </w:r>
      <w:r>
        <w:rPr>
          <w:bCs/>
          <w:lang w:eastAsia="ja-JP"/>
        </w:rPr>
        <w:tab/>
      </w:r>
      <w:r>
        <w:rPr>
          <w:bCs/>
          <w:lang w:eastAsia="ja-JP"/>
        </w:rPr>
        <w:t>R4-1910888</w:t>
      </w:r>
      <w:r>
        <w:rPr>
          <w:bCs/>
          <w:lang w:eastAsia="ja-JP"/>
        </w:rPr>
        <w:tab/>
      </w:r>
      <w:r>
        <w:rPr>
          <w:bCs/>
          <w:lang w:eastAsia="ja-JP"/>
        </w:rPr>
        <w:t>Work plan for adding wider channel bandwidth in NR band n28;</w:t>
      </w:r>
      <w:r>
        <w:rPr>
          <w:bCs/>
          <w:lang w:eastAsia="ja-JP"/>
        </w:rPr>
        <w:tab/>
      </w:r>
      <w:r>
        <w:rPr>
          <w:bCs/>
          <w:lang w:eastAsia="ja-JP"/>
        </w:rPr>
        <w:t>CBN, Huawei, HiSilicon</w:t>
      </w:r>
    </w:p>
    <w:p>
      <w:pPr>
        <w:overflowPunct/>
        <w:autoSpaceDE/>
        <w:autoSpaceDN/>
        <w:snapToGrid w:val="0"/>
        <w:spacing w:after="0"/>
        <w:textAlignment w:val="auto"/>
        <w:rPr>
          <w:bCs/>
          <w:lang w:eastAsia="ja-JP"/>
        </w:rPr>
      </w:pPr>
      <w:r>
        <w:rPr>
          <w:bCs/>
          <w:lang w:eastAsia="ja-JP"/>
        </w:rPr>
        <w:t>[2]</w:t>
      </w:r>
      <w:r>
        <w:rPr>
          <w:bCs/>
          <w:lang w:eastAsia="ja-JP"/>
        </w:rPr>
        <w:tab/>
      </w:r>
      <w:r>
        <w:rPr>
          <w:bCs/>
          <w:lang w:eastAsia="ja-JP"/>
        </w:rPr>
        <w:t>R4-1911158</w:t>
      </w:r>
      <w:r>
        <w:rPr>
          <w:bCs/>
          <w:lang w:eastAsia="ja-JP"/>
        </w:rPr>
        <w:tab/>
      </w:r>
      <w:r>
        <w:rPr>
          <w:bCs/>
          <w:lang w:eastAsia="ja-JP"/>
        </w:rPr>
        <w:t>TR 38.888 v0.0.1 Adding wider channel bandwidth in NR band n28;</w:t>
      </w:r>
      <w:r>
        <w:rPr>
          <w:bCs/>
          <w:lang w:eastAsia="ja-JP"/>
        </w:rPr>
        <w:tab/>
      </w:r>
      <w:r>
        <w:rPr>
          <w:bCs/>
          <w:lang w:eastAsia="ja-JP"/>
        </w:rPr>
        <w:t>CBN</w:t>
      </w:r>
    </w:p>
    <w:p>
      <w:pPr>
        <w:overflowPunct/>
        <w:autoSpaceDE/>
        <w:autoSpaceDN/>
        <w:snapToGrid w:val="0"/>
        <w:spacing w:after="0"/>
        <w:textAlignment w:val="auto"/>
        <w:rPr>
          <w:bCs/>
          <w:lang w:eastAsia="ja-JP"/>
        </w:rPr>
      </w:pPr>
      <w:r>
        <w:rPr>
          <w:bCs/>
          <w:lang w:eastAsia="ja-JP"/>
        </w:rPr>
        <w:t>[3]</w:t>
      </w:r>
      <w:r>
        <w:rPr>
          <w:bCs/>
          <w:lang w:eastAsia="ja-JP"/>
        </w:rPr>
        <w:tab/>
      </w:r>
      <w:r>
        <w:rPr>
          <w:bCs/>
          <w:lang w:eastAsia="ja-JP"/>
        </w:rPr>
        <w:t>R4-1912466</w:t>
      </w:r>
      <w:r>
        <w:rPr>
          <w:bCs/>
          <w:lang w:eastAsia="ja-JP"/>
        </w:rPr>
        <w:tab/>
      </w:r>
      <w:r>
        <w:rPr>
          <w:bCs/>
          <w:lang w:eastAsia="ja-JP"/>
        </w:rPr>
        <w:t>Views on n28 Bandwidth Extension to 30MHz;</w:t>
      </w:r>
      <w:r>
        <w:rPr>
          <w:bCs/>
          <w:lang w:eastAsia="ja-JP"/>
        </w:rPr>
        <w:tab/>
      </w:r>
      <w:r>
        <w:rPr>
          <w:bCs/>
          <w:lang w:eastAsia="ja-JP"/>
        </w:rPr>
        <w:t>Skyworks Solutions Inc</w:t>
      </w:r>
    </w:p>
    <w:p>
      <w:pPr>
        <w:overflowPunct/>
        <w:autoSpaceDE/>
        <w:autoSpaceDN/>
        <w:snapToGrid w:val="0"/>
        <w:spacing w:after="0"/>
        <w:textAlignment w:val="auto"/>
        <w:rPr>
          <w:bCs/>
          <w:lang w:eastAsia="ja-JP"/>
        </w:rPr>
      </w:pPr>
      <w:r>
        <w:rPr>
          <w:bCs/>
          <w:lang w:eastAsia="ja-JP"/>
        </w:rPr>
        <w:t>[4]</w:t>
      </w:r>
      <w:r>
        <w:rPr>
          <w:bCs/>
          <w:lang w:eastAsia="ja-JP"/>
        </w:rPr>
        <w:tab/>
      </w:r>
      <w:r>
        <w:rPr>
          <w:bCs/>
          <w:lang w:eastAsia="ja-JP"/>
        </w:rPr>
        <w:t>R4-1911497</w:t>
      </w:r>
      <w:r>
        <w:rPr>
          <w:bCs/>
          <w:lang w:eastAsia="ja-JP"/>
        </w:rPr>
        <w:tab/>
      </w:r>
      <w:r>
        <w:rPr>
          <w:bCs/>
          <w:lang w:eastAsia="ja-JP"/>
        </w:rPr>
        <w:t>[n28BW] Discussion on UE RF REFSENS for adding wider channel bandwidth in band n28;</w:t>
      </w:r>
      <w:r>
        <w:rPr>
          <w:bCs/>
          <w:lang w:eastAsia="ja-JP"/>
        </w:rPr>
        <w:tab/>
      </w:r>
      <w:r>
        <w:rPr>
          <w:bCs/>
          <w:lang w:eastAsia="ja-JP"/>
        </w:rPr>
        <w:t>Huawei, HiSilicon</w:t>
      </w:r>
    </w:p>
    <w:p>
      <w:pPr>
        <w:overflowPunct/>
        <w:autoSpaceDE/>
        <w:autoSpaceDN/>
        <w:snapToGrid w:val="0"/>
        <w:spacing w:after="0"/>
        <w:ind w:left="567" w:hanging="567"/>
        <w:textAlignment w:val="auto"/>
        <w:rPr>
          <w:bCs/>
          <w:lang w:eastAsia="ja-JP"/>
        </w:rPr>
      </w:pPr>
      <w:r>
        <w:rPr>
          <w:bCs/>
          <w:lang w:eastAsia="ja-JP"/>
        </w:rPr>
        <w:t>[5]</w:t>
      </w:r>
      <w:r>
        <w:rPr>
          <w:bCs/>
          <w:lang w:eastAsia="ja-JP"/>
        </w:rPr>
        <w:tab/>
      </w:r>
      <w:r>
        <w:rPr>
          <w:bCs/>
          <w:lang w:eastAsia="ja-JP"/>
        </w:rPr>
        <w:t>R4-1911498</w:t>
      </w:r>
      <w:r>
        <w:rPr>
          <w:bCs/>
          <w:lang w:eastAsia="ja-JP"/>
        </w:rPr>
        <w:tab/>
      </w:r>
      <w:r>
        <w:rPr>
          <w:bCs/>
          <w:lang w:eastAsia="ja-JP"/>
        </w:rPr>
        <w:t>[n28BW] Discussion on UE RF spurious emission and MPR simulations assumption for adding wider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[6]</w:t>
      </w:r>
      <w:r>
        <w:rPr>
          <w:bCs/>
          <w:lang w:eastAsia="ja-JP"/>
        </w:rPr>
        <w:tab/>
      </w:r>
      <w:r>
        <w:rPr>
          <w:bCs/>
          <w:lang w:eastAsia="ja-JP"/>
        </w:rPr>
        <w:t>R4-1911613</w:t>
      </w:r>
      <w:r>
        <w:rPr>
          <w:bCs/>
          <w:lang w:eastAsia="ja-JP"/>
        </w:rPr>
        <w:tab/>
      </w:r>
      <w:r>
        <w:rPr>
          <w:bCs/>
          <w:lang w:eastAsia="ja-JP"/>
        </w:rPr>
        <w:t>n28 supporting 30MHz;</w:t>
      </w:r>
      <w:r>
        <w:rPr>
          <w:bCs/>
          <w:lang w:eastAsia="ja-JP"/>
        </w:rPr>
        <w:tab/>
      </w:r>
      <w:r>
        <w:rPr>
          <w:bCs/>
          <w:lang w:eastAsia="ja-JP"/>
        </w:rPr>
        <w:t>Shanghai Chen Si Electronics</w:t>
      </w:r>
    </w:p>
    <w:p>
      <w:pPr>
        <w:overflowPunct/>
        <w:autoSpaceDE/>
        <w:autoSpaceDN/>
        <w:snapToGrid w:val="0"/>
        <w:spacing w:after="0"/>
        <w:textAlignment w:val="auto"/>
        <w:rPr>
          <w:bCs/>
          <w:lang w:eastAsia="ja-JP"/>
        </w:rPr>
      </w:pPr>
      <w:r>
        <w:rPr>
          <w:bCs/>
          <w:lang w:eastAsia="ja-JP"/>
        </w:rPr>
        <w:t>[7]</w:t>
      </w:r>
      <w:r>
        <w:rPr>
          <w:bCs/>
          <w:lang w:eastAsia="ja-JP"/>
        </w:rPr>
        <w:tab/>
      </w:r>
      <w:r>
        <w:rPr>
          <w:bCs/>
          <w:lang w:eastAsia="ja-JP"/>
        </w:rPr>
        <w:t>R4-1912485</w:t>
      </w:r>
      <w:r>
        <w:rPr>
          <w:bCs/>
          <w:lang w:eastAsia="ja-JP"/>
        </w:rPr>
        <w:tab/>
      </w:r>
      <w:r>
        <w:rPr>
          <w:bCs/>
          <w:lang w:eastAsia="ja-JP"/>
        </w:rPr>
        <w:t>30 MHz channel bandwidth in Band n28;</w:t>
      </w:r>
      <w:r>
        <w:rPr>
          <w:bCs/>
          <w:lang w:eastAsia="ja-JP"/>
        </w:rPr>
        <w:tab/>
      </w:r>
      <w:r>
        <w:rPr>
          <w:bCs/>
          <w:lang w:eastAsia="ja-JP"/>
        </w:rPr>
        <w:tab/>
      </w:r>
      <w:r>
        <w:rPr>
          <w:bCs/>
          <w:lang w:eastAsia="ja-JP"/>
        </w:rPr>
        <w:t>Qualcomm Incorporated</w:t>
      </w:r>
    </w:p>
    <w:p>
      <w:pPr>
        <w:overflowPunct/>
        <w:autoSpaceDE/>
        <w:autoSpaceDN/>
        <w:snapToGrid w:val="0"/>
        <w:spacing w:after="0"/>
        <w:textAlignment w:val="auto"/>
        <w:rPr>
          <w:bCs/>
          <w:lang w:eastAsia="ja-JP"/>
        </w:rPr>
      </w:pPr>
      <w:r>
        <w:rPr>
          <w:bCs/>
          <w:lang w:eastAsia="ja-JP"/>
        </w:rPr>
        <w:t>[8]</w:t>
      </w:r>
      <w:r>
        <w:rPr>
          <w:bCs/>
          <w:lang w:eastAsia="ja-JP"/>
        </w:rPr>
        <w:tab/>
      </w:r>
      <w:r>
        <w:rPr>
          <w:bCs/>
          <w:lang w:eastAsia="ja-JP"/>
        </w:rPr>
        <w:t>R4-1912979</w:t>
      </w:r>
      <w:r>
        <w:rPr>
          <w:bCs/>
          <w:lang w:eastAsia="ja-JP"/>
        </w:rPr>
        <w:tab/>
      </w:r>
      <w:r>
        <w:rPr>
          <w:bCs/>
          <w:lang w:eastAsia="ja-JP"/>
        </w:rPr>
        <w:t>WF for 30MHz channel bandwidth for band n28;</w:t>
      </w:r>
      <w:r>
        <w:rPr>
          <w:bCs/>
          <w:lang w:eastAsia="ja-JP"/>
        </w:rPr>
        <w:tab/>
      </w:r>
      <w:r>
        <w:rPr>
          <w:bCs/>
          <w:lang w:eastAsia="ja-JP"/>
        </w:rPr>
        <w:tab/>
      </w:r>
      <w:r>
        <w:rPr>
          <w:bCs/>
          <w:lang w:eastAsia="ja-JP"/>
        </w:rPr>
        <w:t>Huawei, Skyworks Solutions Inc</w:t>
      </w:r>
    </w:p>
    <w:p>
      <w:pPr>
        <w:overflowPunct/>
        <w:autoSpaceDE/>
        <w:autoSpaceDN/>
        <w:snapToGrid w:val="0"/>
        <w:spacing w:after="0"/>
        <w:ind w:left="567" w:hanging="567"/>
        <w:textAlignment w:val="auto"/>
        <w:rPr>
          <w:bCs/>
          <w:lang w:eastAsia="ja-JP"/>
        </w:rPr>
      </w:pPr>
      <w:r>
        <w:rPr>
          <w:bCs/>
          <w:lang w:eastAsia="ja-JP"/>
        </w:rPr>
        <w:t>[9]</w:t>
      </w:r>
      <w:r>
        <w:rPr>
          <w:bCs/>
          <w:lang w:eastAsia="ja-JP"/>
        </w:rPr>
        <w:tab/>
      </w:r>
      <w:r>
        <w:rPr>
          <w:bCs/>
          <w:lang w:eastAsia="ja-JP"/>
        </w:rPr>
        <w:t>R4-1911496</w:t>
      </w:r>
      <w:r>
        <w:rPr>
          <w:bCs/>
          <w:lang w:eastAsia="ja-JP"/>
        </w:rPr>
        <w:tab/>
      </w:r>
      <w:r>
        <w:rPr>
          <w:bCs/>
          <w:lang w:eastAsia="ja-JP"/>
        </w:rPr>
        <w:t>[n28BW] TP on BS RF requirements for adding wider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[10]</w:t>
      </w:r>
      <w:r>
        <w:rPr>
          <w:bCs/>
          <w:lang w:eastAsia="ja-JP"/>
        </w:rPr>
        <w:tab/>
      </w:r>
      <w:r>
        <w:rPr>
          <w:bCs/>
          <w:lang w:eastAsia="ja-JP"/>
        </w:rPr>
        <w:t>R4-1912369</w:t>
      </w:r>
      <w:r>
        <w:rPr>
          <w:bCs/>
          <w:lang w:eastAsia="ja-JP"/>
        </w:rPr>
        <w:tab/>
      </w:r>
      <w:r>
        <w:rPr>
          <w:bCs/>
          <w:lang w:eastAsia="ja-JP"/>
        </w:rPr>
        <w:t>TP on BS RF requirements for adding channel bandwidth in band n28;</w:t>
      </w:r>
      <w:r>
        <w:rPr>
          <w:bCs/>
          <w:lang w:eastAsia="ja-JP"/>
        </w:rPr>
        <w:tab/>
      </w:r>
      <w:r>
        <w:rPr>
          <w:bCs/>
          <w:lang w:eastAsia="ja-JP"/>
        </w:rPr>
        <w:tab/>
      </w:r>
      <w:r>
        <w:rPr>
          <w:bCs/>
          <w:lang w:eastAsia="ja-JP"/>
        </w:rPr>
        <w:t>CATT</w:t>
      </w:r>
    </w:p>
    <w:p>
      <w:pPr>
        <w:overflowPunct/>
        <w:autoSpaceDE/>
        <w:autoSpaceDN/>
        <w:snapToGrid w:val="0"/>
        <w:spacing w:after="0"/>
        <w:textAlignment w:val="auto"/>
        <w:rPr>
          <w:bCs/>
          <w:lang w:eastAsia="ja-JP"/>
        </w:rPr>
      </w:pPr>
    </w:p>
    <w:p>
      <w:pPr>
        <w:overflowPunct/>
        <w:autoSpaceDE/>
        <w:autoSpaceDN/>
        <w:snapToGrid w:val="0"/>
        <w:spacing w:after="0"/>
        <w:textAlignment w:val="auto"/>
        <w:rPr>
          <w:bCs/>
          <w:lang w:eastAsia="ja-JP"/>
        </w:rPr>
      </w:pPr>
    </w:p>
    <w:p>
      <w:pPr>
        <w:overflowPunct/>
        <w:autoSpaceDE/>
        <w:autoSpaceDN/>
        <w:snapToGrid w:val="0"/>
        <w:spacing w:after="0"/>
        <w:textAlignment w:val="auto"/>
        <w:rPr>
          <w:rFonts w:ascii="Arial" w:hAnsi="Arial" w:cs="Arial"/>
          <w:b/>
          <w:bCs/>
          <w:lang w:eastAsia="ja-JP"/>
        </w:rPr>
      </w:pPr>
      <w:r>
        <w:rPr>
          <w:bCs/>
          <w:lang w:eastAsia="ja-JP"/>
        </w:rPr>
        <w:t>R4#93, Reno</w:t>
      </w:r>
    </w:p>
    <w:p>
      <w:pPr>
        <w:overflowPunct/>
        <w:autoSpaceDE/>
        <w:autoSpaceDN/>
        <w:snapToGrid w:val="0"/>
        <w:spacing w:after="0"/>
        <w:textAlignment w:val="auto"/>
        <w:rPr>
          <w:bCs/>
          <w:lang w:eastAsia="ja-JP"/>
        </w:rPr>
      </w:pPr>
      <w:r>
        <w:rPr>
          <w:bCs/>
          <w:lang w:eastAsia="ja-JP"/>
        </w:rPr>
        <w:t>[11]</w:t>
      </w:r>
      <w:r>
        <w:rPr>
          <w:bCs/>
          <w:lang w:eastAsia="ja-JP"/>
        </w:rPr>
        <w:tab/>
      </w:r>
      <w:r>
        <w:rPr>
          <w:bCs/>
          <w:lang w:eastAsia="ja-JP"/>
        </w:rPr>
        <w:t>R4-1916060</w:t>
      </w:r>
      <w:r>
        <w:rPr>
          <w:bCs/>
          <w:lang w:eastAsia="ja-JP"/>
        </w:rPr>
        <w:tab/>
      </w:r>
      <w:r>
        <w:rPr>
          <w:bCs/>
          <w:lang w:eastAsia="ja-JP"/>
        </w:rPr>
        <w:t>n28 30MHz AMPR;</w:t>
      </w:r>
      <w:r>
        <w:rPr>
          <w:bCs/>
          <w:lang w:eastAsia="ja-JP"/>
        </w:rPr>
        <w:tab/>
      </w:r>
      <w:r>
        <w:rPr>
          <w:bCs/>
          <w:lang w:eastAsia="ja-JP"/>
        </w:rPr>
        <w:t>Qualcomm Incorporated</w:t>
      </w:r>
    </w:p>
    <w:p>
      <w:pPr>
        <w:overflowPunct/>
        <w:autoSpaceDE/>
        <w:autoSpaceDN/>
        <w:snapToGrid w:val="0"/>
        <w:spacing w:after="0"/>
        <w:textAlignment w:val="auto"/>
        <w:rPr>
          <w:bCs/>
          <w:lang w:eastAsia="ja-JP"/>
        </w:rPr>
      </w:pPr>
      <w:r>
        <w:rPr>
          <w:bCs/>
          <w:lang w:eastAsia="ja-JP"/>
        </w:rPr>
        <w:t>[12]</w:t>
      </w:r>
      <w:r>
        <w:rPr>
          <w:bCs/>
          <w:lang w:eastAsia="ja-JP"/>
        </w:rPr>
        <w:tab/>
      </w:r>
      <w:r>
        <w:rPr>
          <w:bCs/>
          <w:lang w:eastAsia="ja-JP"/>
        </w:rPr>
        <w:t>R4-1916061</w:t>
      </w:r>
      <w:r>
        <w:rPr>
          <w:bCs/>
          <w:lang w:eastAsia="ja-JP"/>
        </w:rPr>
        <w:tab/>
      </w:r>
      <w:r>
        <w:rPr>
          <w:bCs/>
          <w:lang w:eastAsia="ja-JP"/>
        </w:rPr>
        <w:t>TP on UE spurious emission requirements for band n28;</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[13]</w:t>
      </w:r>
      <w:r>
        <w:rPr>
          <w:bCs/>
          <w:lang w:eastAsia="ja-JP"/>
        </w:rPr>
        <w:tab/>
      </w:r>
      <w:r>
        <w:rPr>
          <w:bCs/>
          <w:lang w:eastAsia="ja-JP"/>
        </w:rPr>
        <w:t>R4-1913752</w:t>
      </w:r>
      <w:r>
        <w:rPr>
          <w:bCs/>
          <w:lang w:eastAsia="ja-JP"/>
        </w:rPr>
        <w:tab/>
      </w:r>
      <w:r>
        <w:rPr>
          <w:bCs/>
          <w:lang w:eastAsia="ja-JP"/>
        </w:rPr>
        <w:t>UE co-existence reuiqrements for band n28 into 38.101-1;</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[14]</w:t>
      </w:r>
      <w:r>
        <w:rPr>
          <w:bCs/>
          <w:lang w:eastAsia="ja-JP"/>
        </w:rPr>
        <w:tab/>
      </w:r>
      <w:r>
        <w:rPr>
          <w:bCs/>
          <w:lang w:eastAsia="ja-JP"/>
        </w:rPr>
        <w:t>R4-1913753</w:t>
      </w:r>
      <w:r>
        <w:rPr>
          <w:bCs/>
          <w:lang w:eastAsia="ja-JP"/>
        </w:rPr>
        <w:tab/>
      </w:r>
      <w:r>
        <w:rPr>
          <w:bCs/>
          <w:lang w:eastAsia="ja-JP"/>
        </w:rPr>
        <w:t>UE co-existence reuiqrements for band n28 into 38.101-3;</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[15]</w:t>
      </w:r>
      <w:r>
        <w:rPr>
          <w:bCs/>
          <w:lang w:eastAsia="ja-JP"/>
        </w:rPr>
        <w:tab/>
      </w:r>
      <w:r>
        <w:rPr>
          <w:bCs/>
          <w:lang w:eastAsia="ja-JP"/>
        </w:rPr>
        <w:t>R4-1913754</w:t>
      </w:r>
      <w:r>
        <w:rPr>
          <w:bCs/>
          <w:lang w:eastAsia="ja-JP"/>
        </w:rPr>
        <w:tab/>
      </w:r>
      <w:r>
        <w:rPr>
          <w:bCs/>
          <w:lang w:eastAsia="ja-JP"/>
        </w:rPr>
        <w:t>In troducing UE co-existence reuiqrements for band n28 into 36.101;</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[16]</w:t>
      </w:r>
      <w:r>
        <w:rPr>
          <w:bCs/>
          <w:lang w:eastAsia="ja-JP"/>
        </w:rPr>
        <w:tab/>
      </w:r>
      <w:r>
        <w:rPr>
          <w:bCs/>
          <w:lang w:eastAsia="ja-JP"/>
        </w:rPr>
        <w:t>R4-1914190</w:t>
      </w:r>
      <w:r>
        <w:rPr>
          <w:bCs/>
          <w:lang w:eastAsia="ja-JP"/>
        </w:rPr>
        <w:tab/>
      </w:r>
      <w:r>
        <w:rPr>
          <w:bCs/>
          <w:lang w:eastAsia="ja-JP"/>
        </w:rPr>
        <w:t>n28 supporting 30MHz REFSENS evaluation;</w:t>
      </w:r>
      <w:r>
        <w:rPr>
          <w:bCs/>
          <w:lang w:eastAsia="ja-JP"/>
        </w:rPr>
        <w:tab/>
      </w:r>
      <w:r>
        <w:rPr>
          <w:bCs/>
          <w:lang w:eastAsia="ja-JP"/>
        </w:rPr>
        <w:t>Shanghai Chen Si Electronics</w:t>
      </w:r>
    </w:p>
    <w:p>
      <w:pPr>
        <w:overflowPunct/>
        <w:autoSpaceDE/>
        <w:autoSpaceDN/>
        <w:snapToGrid w:val="0"/>
        <w:spacing w:after="0"/>
        <w:ind w:left="567" w:hanging="567"/>
        <w:textAlignment w:val="auto"/>
        <w:rPr>
          <w:bCs/>
          <w:lang w:eastAsia="ja-JP"/>
        </w:rPr>
      </w:pPr>
      <w:r>
        <w:rPr>
          <w:bCs/>
          <w:lang w:eastAsia="ja-JP"/>
        </w:rPr>
        <w:t>[17]</w:t>
      </w:r>
      <w:r>
        <w:rPr>
          <w:bCs/>
          <w:lang w:eastAsia="ja-JP"/>
        </w:rPr>
        <w:tab/>
      </w:r>
      <w:r>
        <w:rPr>
          <w:bCs/>
          <w:lang w:eastAsia="ja-JP"/>
        </w:rPr>
        <w:t>R4-1914499</w:t>
      </w:r>
      <w:r>
        <w:rPr>
          <w:bCs/>
          <w:lang w:eastAsia="ja-JP"/>
        </w:rPr>
        <w:tab/>
      </w:r>
      <w:r>
        <w:rPr>
          <w:bCs/>
          <w:lang w:eastAsia="ja-JP"/>
        </w:rPr>
        <w:t>[n28BW] Discussion on UE RF REFSENS for 30MHz channel bandwidth in band n28;</w:t>
      </w:r>
      <w:r>
        <w:rPr>
          <w:bCs/>
          <w:lang w:eastAsia="ja-JP"/>
        </w:rPr>
        <w:tab/>
      </w:r>
      <w:r>
        <w:rPr>
          <w:bCs/>
          <w:lang w:eastAsia="ja-JP"/>
        </w:rPr>
        <w:t>Huawei, HiSilicon, CBN</w:t>
      </w:r>
    </w:p>
    <w:p>
      <w:pPr>
        <w:overflowPunct/>
        <w:autoSpaceDE/>
        <w:autoSpaceDN/>
        <w:snapToGrid w:val="0"/>
        <w:spacing w:after="0"/>
        <w:ind w:left="567" w:hanging="567"/>
        <w:textAlignment w:val="auto"/>
        <w:rPr>
          <w:bCs/>
          <w:lang w:eastAsia="ja-JP"/>
        </w:rPr>
      </w:pPr>
      <w:r>
        <w:rPr>
          <w:bCs/>
          <w:lang w:eastAsia="ja-JP"/>
        </w:rPr>
        <w:t>[18]</w:t>
      </w:r>
      <w:r>
        <w:rPr>
          <w:bCs/>
          <w:lang w:eastAsia="ja-JP"/>
        </w:rPr>
        <w:tab/>
      </w:r>
      <w:r>
        <w:rPr>
          <w:bCs/>
          <w:lang w:eastAsia="ja-JP"/>
        </w:rPr>
        <w:t>R4-1914500</w:t>
      </w:r>
      <w:r>
        <w:rPr>
          <w:bCs/>
          <w:lang w:eastAsia="ja-JP"/>
        </w:rPr>
        <w:tab/>
      </w:r>
      <w:r>
        <w:rPr>
          <w:bCs/>
          <w:lang w:eastAsia="ja-JP"/>
        </w:rPr>
        <w:t>[n28BW] TP on UE RF REFSENS for 30MHz channel bandwidth in band n28;</w:t>
      </w:r>
      <w:r>
        <w:rPr>
          <w:bCs/>
          <w:lang w:eastAsia="ja-JP"/>
        </w:rPr>
        <w:tab/>
      </w:r>
      <w:r>
        <w:rPr>
          <w:bCs/>
          <w:lang w:eastAsia="ja-JP"/>
        </w:rPr>
        <w:t>Huawei, HiSilicon, CBN</w:t>
      </w:r>
    </w:p>
    <w:p>
      <w:pPr>
        <w:overflowPunct/>
        <w:autoSpaceDE/>
        <w:autoSpaceDN/>
        <w:snapToGrid w:val="0"/>
        <w:spacing w:after="0"/>
        <w:ind w:left="567" w:hanging="567"/>
        <w:textAlignment w:val="auto"/>
        <w:rPr>
          <w:bCs/>
          <w:lang w:eastAsia="ja-JP"/>
        </w:rPr>
      </w:pPr>
      <w:r>
        <w:rPr>
          <w:bCs/>
          <w:lang w:eastAsia="ja-JP"/>
        </w:rPr>
        <w:t>[19]</w:t>
      </w:r>
      <w:r>
        <w:rPr>
          <w:bCs/>
          <w:lang w:eastAsia="ja-JP"/>
        </w:rPr>
        <w:tab/>
      </w:r>
      <w:r>
        <w:rPr>
          <w:bCs/>
          <w:lang w:eastAsia="ja-JP"/>
        </w:rPr>
        <w:t>R4-1914501</w:t>
      </w:r>
      <w:r>
        <w:rPr>
          <w:bCs/>
          <w:lang w:eastAsia="ja-JP"/>
        </w:rPr>
        <w:tab/>
      </w:r>
      <w:r>
        <w:rPr>
          <w:bCs/>
          <w:lang w:eastAsia="ja-JP"/>
        </w:rPr>
        <w:t>[n28BW] initial MPR simulations results for UL 30MHz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[20]</w:t>
      </w:r>
      <w:r>
        <w:rPr>
          <w:bCs/>
          <w:lang w:eastAsia="ja-JP"/>
        </w:rPr>
        <w:tab/>
      </w:r>
      <w:r>
        <w:rPr>
          <w:bCs/>
          <w:lang w:eastAsia="ja-JP"/>
        </w:rPr>
        <w:t>R4-1914502</w:t>
      </w:r>
      <w:r>
        <w:rPr>
          <w:bCs/>
          <w:lang w:eastAsia="ja-JP"/>
        </w:rPr>
        <w:tab/>
      </w:r>
      <w:r>
        <w:rPr>
          <w:bCs/>
          <w:lang w:eastAsia="ja-JP"/>
        </w:rPr>
        <w:t>[n28BW] initial AMPR simulations results for NS_18 UL 30MHz channel bandwidth in band n28;</w:t>
      </w:r>
      <w:r>
        <w:rPr>
          <w:bCs/>
          <w:lang w:eastAsia="ja-JP"/>
        </w:rPr>
        <w:tab/>
      </w:r>
      <w:r>
        <w:rPr>
          <w:bCs/>
          <w:lang w:eastAsia="ja-JP"/>
        </w:rPr>
        <w:t>Huawei, HiSilicon</w:t>
      </w:r>
    </w:p>
    <w:p>
      <w:pPr>
        <w:overflowPunct/>
        <w:autoSpaceDE/>
        <w:autoSpaceDN/>
        <w:snapToGrid w:val="0"/>
        <w:spacing w:after="0"/>
        <w:ind w:left="567" w:hanging="567"/>
        <w:textAlignment w:val="auto"/>
        <w:rPr>
          <w:bCs/>
          <w:lang w:eastAsia="ja-JP"/>
        </w:rPr>
      </w:pPr>
      <w:r>
        <w:rPr>
          <w:bCs/>
          <w:lang w:eastAsia="ja-JP"/>
        </w:rPr>
        <w:t>[21]</w:t>
      </w:r>
      <w:r>
        <w:rPr>
          <w:bCs/>
          <w:lang w:eastAsia="ja-JP"/>
        </w:rPr>
        <w:tab/>
      </w:r>
      <w:r>
        <w:rPr>
          <w:bCs/>
          <w:lang w:eastAsia="ja-JP"/>
        </w:rPr>
        <w:t>R4-1914503</w:t>
      </w:r>
      <w:r>
        <w:rPr>
          <w:bCs/>
          <w:lang w:eastAsia="ja-JP"/>
        </w:rPr>
        <w:tab/>
      </w:r>
      <w:r>
        <w:rPr>
          <w:bCs/>
          <w:lang w:eastAsia="ja-JP"/>
        </w:rPr>
        <w:t>[n28BW] TP to add UE Tx requirements for 30MHz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[22]</w:t>
      </w:r>
      <w:r>
        <w:rPr>
          <w:bCs/>
          <w:lang w:eastAsia="ja-JP"/>
        </w:rPr>
        <w:tab/>
      </w:r>
      <w:r>
        <w:rPr>
          <w:bCs/>
          <w:lang w:eastAsia="ja-JP"/>
        </w:rPr>
        <w:t>R4-1915215</w:t>
      </w:r>
      <w:r>
        <w:rPr>
          <w:bCs/>
          <w:lang w:eastAsia="ja-JP"/>
        </w:rPr>
        <w:tab/>
      </w:r>
      <w:r>
        <w:rPr>
          <w:bCs/>
          <w:lang w:eastAsia="ja-JP"/>
        </w:rPr>
        <w:t>TP for TR 38.888 on Footnote for 30MHz Channel Bandwidth in Band n28;</w:t>
      </w:r>
      <w:r>
        <w:rPr>
          <w:bCs/>
          <w:lang w:eastAsia="ja-JP"/>
        </w:rPr>
        <w:tab/>
      </w:r>
      <w:r>
        <w:rPr>
          <w:bCs/>
          <w:lang w:eastAsia="ja-JP"/>
        </w:rPr>
        <w:t>Skyworks Solutions Inc</w:t>
      </w:r>
    </w:p>
    <w:p>
      <w:pPr>
        <w:overflowPunct/>
        <w:autoSpaceDE/>
        <w:autoSpaceDN/>
        <w:snapToGrid w:val="0"/>
        <w:spacing w:after="0"/>
        <w:textAlignment w:val="auto"/>
        <w:rPr>
          <w:bCs/>
          <w:lang w:eastAsia="ja-JP"/>
        </w:rPr>
      </w:pPr>
      <w:r>
        <w:rPr>
          <w:bCs/>
          <w:lang w:eastAsia="ja-JP"/>
        </w:rPr>
        <w:t>[23]</w:t>
      </w:r>
      <w:r>
        <w:rPr>
          <w:bCs/>
          <w:lang w:eastAsia="ja-JP"/>
        </w:rPr>
        <w:tab/>
      </w:r>
      <w:r>
        <w:rPr>
          <w:bCs/>
          <w:lang w:eastAsia="ja-JP"/>
        </w:rPr>
        <w:t>R4-1916062</w:t>
      </w:r>
      <w:r>
        <w:rPr>
          <w:bCs/>
          <w:lang w:eastAsia="ja-JP"/>
        </w:rPr>
        <w:tab/>
      </w:r>
      <w:r>
        <w:rPr>
          <w:bCs/>
          <w:lang w:eastAsia="ja-JP"/>
        </w:rPr>
        <w:t>Experimental measurements for n28 30MHz REFSENS;</w:t>
      </w:r>
      <w:r>
        <w:rPr>
          <w:bCs/>
          <w:lang w:eastAsia="ja-JP"/>
        </w:rPr>
        <w:tab/>
      </w:r>
      <w:r>
        <w:rPr>
          <w:bCs/>
          <w:lang w:eastAsia="ja-JP"/>
        </w:rPr>
        <w:tab/>
      </w:r>
      <w:r>
        <w:rPr>
          <w:bCs/>
          <w:lang w:eastAsia="ja-JP"/>
        </w:rPr>
        <w:t>Skyworks Solutions Inc</w:t>
      </w:r>
    </w:p>
    <w:p>
      <w:pPr>
        <w:overflowPunct/>
        <w:autoSpaceDE/>
        <w:autoSpaceDN/>
        <w:snapToGrid w:val="0"/>
        <w:spacing w:after="0"/>
        <w:textAlignment w:val="auto"/>
        <w:rPr>
          <w:bCs/>
          <w:lang w:eastAsia="ja-JP"/>
        </w:rPr>
      </w:pPr>
      <w:r>
        <w:rPr>
          <w:bCs/>
          <w:lang w:eastAsia="ja-JP"/>
        </w:rPr>
        <w:t>[24]</w:t>
      </w:r>
      <w:r>
        <w:rPr>
          <w:bCs/>
          <w:lang w:eastAsia="ja-JP"/>
        </w:rPr>
        <w:tab/>
      </w:r>
      <w:r>
        <w:rPr>
          <w:bCs/>
          <w:lang w:eastAsia="ja-JP"/>
        </w:rPr>
        <w:t>R4-1913618</w:t>
      </w:r>
      <w:r>
        <w:rPr>
          <w:bCs/>
          <w:lang w:eastAsia="ja-JP"/>
        </w:rPr>
        <w:tab/>
      </w:r>
      <w:r>
        <w:rPr>
          <w:bCs/>
          <w:lang w:eastAsia="ja-JP"/>
        </w:rPr>
        <w:t>BS-BS co-existence analysis for the new wider channel bandwidth band n28;</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[25]</w:t>
      </w:r>
      <w:r>
        <w:rPr>
          <w:bCs/>
          <w:lang w:eastAsia="ja-JP"/>
        </w:rPr>
        <w:tab/>
      </w:r>
      <w:r>
        <w:rPr>
          <w:bCs/>
          <w:lang w:eastAsia="ja-JP"/>
        </w:rPr>
        <w:t>R4-1913619</w:t>
      </w:r>
      <w:r>
        <w:rPr>
          <w:bCs/>
          <w:lang w:eastAsia="ja-JP"/>
        </w:rPr>
        <w:tab/>
      </w:r>
      <w:r>
        <w:rPr>
          <w:bCs/>
          <w:lang w:eastAsia="ja-JP"/>
        </w:rPr>
        <w:t>Discussion on BS RF requirement for the new wider channel bandwidth band n28;</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[26]</w:t>
      </w:r>
      <w:r>
        <w:rPr>
          <w:bCs/>
          <w:lang w:eastAsia="ja-JP"/>
        </w:rPr>
        <w:tab/>
      </w:r>
      <w:r>
        <w:rPr>
          <w:bCs/>
          <w:lang w:eastAsia="ja-JP"/>
        </w:rPr>
        <w:t>R4-1913620</w:t>
      </w:r>
      <w:r>
        <w:rPr>
          <w:bCs/>
          <w:lang w:eastAsia="ja-JP"/>
        </w:rPr>
        <w:tab/>
      </w:r>
      <w:r>
        <w:rPr>
          <w:bCs/>
          <w:lang w:eastAsia="ja-JP"/>
        </w:rPr>
        <w:t>TP for TR38.888: Adding new wider channel bandwidth for BS;</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[27]</w:t>
      </w:r>
      <w:r>
        <w:rPr>
          <w:bCs/>
          <w:lang w:eastAsia="ja-JP"/>
        </w:rPr>
        <w:tab/>
      </w:r>
      <w:r>
        <w:rPr>
          <w:bCs/>
          <w:lang w:eastAsia="ja-JP"/>
        </w:rPr>
        <w:t>R4-1916064</w:t>
      </w:r>
      <w:r>
        <w:rPr>
          <w:bCs/>
          <w:lang w:eastAsia="ja-JP"/>
        </w:rPr>
        <w:tab/>
      </w:r>
      <w:r>
        <w:rPr>
          <w:bCs/>
          <w:lang w:eastAsia="ja-JP"/>
        </w:rPr>
        <w:t>TP for TR38.888: BS-BS co-existence analysis;</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[28]</w:t>
      </w:r>
      <w:r>
        <w:rPr>
          <w:bCs/>
          <w:lang w:eastAsia="ja-JP"/>
        </w:rPr>
        <w:tab/>
      </w:r>
      <w:r>
        <w:rPr>
          <w:bCs/>
          <w:lang w:eastAsia="ja-JP"/>
        </w:rPr>
        <w:t>R4-1913755</w:t>
      </w:r>
      <w:r>
        <w:rPr>
          <w:bCs/>
          <w:lang w:eastAsia="ja-JP"/>
        </w:rPr>
        <w:tab/>
      </w:r>
      <w:r>
        <w:rPr>
          <w:bCs/>
          <w:lang w:eastAsia="ja-JP"/>
        </w:rPr>
        <w:t>Introducing new channel bandwidth for band n28 into 38.104;</w:t>
      </w:r>
      <w:r>
        <w:rPr>
          <w:bCs/>
          <w:lang w:eastAsia="ja-JP"/>
        </w:rPr>
        <w:tab/>
      </w:r>
      <w:r>
        <w:rPr>
          <w:bCs/>
          <w:lang w:eastAsia="ja-JP"/>
        </w:rPr>
        <w:t>CATT, CBN</w:t>
      </w:r>
    </w:p>
    <w:p>
      <w:pPr>
        <w:overflowPunct/>
        <w:autoSpaceDE/>
        <w:autoSpaceDN/>
        <w:snapToGrid w:val="0"/>
        <w:spacing w:after="0"/>
        <w:ind w:left="567" w:hanging="567"/>
        <w:textAlignment w:val="auto"/>
        <w:rPr>
          <w:bCs/>
          <w:lang w:eastAsia="ja-JP"/>
        </w:rPr>
      </w:pPr>
      <w:r>
        <w:rPr>
          <w:bCs/>
          <w:lang w:eastAsia="ja-JP"/>
        </w:rPr>
        <w:t>[29]</w:t>
      </w:r>
      <w:r>
        <w:rPr>
          <w:bCs/>
          <w:lang w:eastAsia="ja-JP"/>
        </w:rPr>
        <w:tab/>
      </w:r>
      <w:r>
        <w:rPr>
          <w:bCs/>
          <w:lang w:eastAsia="ja-JP"/>
        </w:rPr>
        <w:t>R4-1916063</w:t>
      </w:r>
      <w:r>
        <w:rPr>
          <w:bCs/>
          <w:lang w:eastAsia="ja-JP"/>
        </w:rPr>
        <w:tab/>
      </w:r>
      <w:r>
        <w:rPr>
          <w:bCs/>
          <w:lang w:eastAsia="ja-JP"/>
        </w:rPr>
        <w:t>[n28BW] TP on BS RF requirements for adding wider channel bandwidth in band n28;</w:t>
      </w:r>
      <w:r>
        <w:rPr>
          <w:bCs/>
          <w:lang w:eastAsia="ja-JP"/>
        </w:rPr>
        <w:tab/>
      </w:r>
      <w:r>
        <w:rPr>
          <w:bCs/>
          <w:lang w:eastAsia="ja-JP"/>
        </w:rPr>
        <w:t>Huawei, HiSilicon, CBN, CATT, ZTE Corporation</w:t>
      </w:r>
    </w:p>
    <w:p>
      <w:pPr>
        <w:overflowPunct/>
        <w:autoSpaceDE/>
        <w:autoSpaceDN/>
        <w:snapToGrid w:val="0"/>
        <w:spacing w:after="0"/>
        <w:textAlignment w:val="auto"/>
        <w:rPr>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HYZhongHei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HYShuSongErKW">
    <w:panose1 w:val="00020600040101010101"/>
    <w:charset w:val="86"/>
    <w:family w:val="auto"/>
    <w:pitch w:val="default"/>
    <w:sig w:usb0="A00002BF" w:usb1="18EF7CFA" w:usb2="00000016" w:usb3="00000000" w:csb0="00040000" w:csb1="00000000"/>
  </w:font>
  <w:font w:name="HYZhongHei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imSun">
    <w:altName w:val="HYShuSongErKW"/>
    <w:panose1 w:val="00000000000000000000"/>
    <w:charset w:val="86"/>
    <w:family w:val="auto"/>
    <w:pitch w:val="default"/>
    <w:sig w:usb0="00000000" w:usb1="00000000" w:usb2="00000000" w:usb3="00000000" w:csb0="00000000" w:csb1="00000000"/>
  </w:font>
  <w:font w:name="SimSun">
    <w:altName w:val="HYShuSongErKW"/>
    <w:panose1 w:val="02010600030101010101"/>
    <w:charset w:val="86"/>
    <w:family w:val="auto"/>
    <w:pitch w:val="default"/>
    <w:sig w:usb0="00000000" w:usb1="00000000" w:usb2="00000010" w:usb3="00000000" w:csb0="00040001"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0000012" w:usb3="00000000" w:csb0="0002009F" w:csb1="00000000"/>
  </w:font>
  <w:font w:name="Symbol">
    <w:panose1 w:val="05050102010706020507"/>
    <w:charset w:val="02"/>
    <w:family w:val="roman"/>
    <w:pitch w:val="default"/>
    <w:sig w:usb0="00000000" w:usb1="00000000" w:usb2="00000000" w:usb3="00000000" w:csb0="80000000" w:csb1="00000000"/>
  </w:font>
  <w:font w:name="ZapfDingbats">
    <w:altName w:val="Thonburi"/>
    <w:panose1 w:val="00000000000000000000"/>
    <w:charset w:val="02"/>
    <w:family w:val="decorative"/>
    <w:pitch w:val="default"/>
    <w:sig w:usb0="00000000" w:usb1="00000000" w:usb2="00000000" w:usb3="00000000" w:csb0="80000000" w:csb1="00000000"/>
  </w:font>
  <w:font w:name="MS Gothic">
    <w:altName w:val="Hiragino Sans"/>
    <w:panose1 w:val="020B0609070205080204"/>
    <w:charset w:val="80"/>
    <w:family w:val="modern"/>
    <w:pitch w:val="default"/>
    <w:sig w:usb0="00000000" w:usb1="00000000" w:usb2="00000012" w:usb3="00000000" w:csb0="0002009F" w:csb1="00000000"/>
  </w:font>
  <w:font w:name="Tahoma">
    <w:panose1 w:val="020B0604030504040204"/>
    <w:charset w:val="00"/>
    <w:family w:val="swiss"/>
    <w:pitch w:val="default"/>
    <w:sig w:usb0="E1002AFF" w:usb1="C000605B" w:usb2="00000029" w:usb3="00000000" w:csb0="200101FF" w:csb1="20280000"/>
  </w:font>
  <w:font w:name="Times">
    <w:panose1 w:val="00000500000000020000"/>
    <w:charset w:val="00"/>
    <w:family w:val="roman"/>
    <w:pitch w:val="default"/>
    <w:sig w:usb0="E00002FF" w:usb1="5000205A" w:usb2="00000000" w:usb3="00000000" w:csb0="2000019F" w:csb1="4F010000"/>
  </w:font>
  <w:font w:name="Mincho">
    <w:altName w:val="Hiragino Sans"/>
    <w:panose1 w:val="02020609040305080305"/>
    <w:charset w:val="80"/>
    <w:family w:val="roman"/>
    <w:pitch w:val="default"/>
    <w:sig w:usb0="00000000" w:usb1="00000000" w:usb2="00000010" w:usb3="00000000" w:csb0="00020000" w:csb1="00000000"/>
  </w:font>
  <w:font w:name="MS PGothic">
    <w:altName w:val="Hiragino Sans"/>
    <w:panose1 w:val="020B0600070205080204"/>
    <w:charset w:val="80"/>
    <w:family w:val="swiss"/>
    <w:pitch w:val="default"/>
    <w:sig w:usb0="00000000" w:usb1="00000000" w:usb2="00000012" w:usb3="00000000" w:csb0="0002009F" w:csb1="00000000"/>
  </w:font>
  <w:font w:name="Century">
    <w:altName w:val="PingFang SC"/>
    <w:panose1 w:val="02040604050505020304"/>
    <w:charset w:val="00"/>
    <w:family w:val="roman"/>
    <w:pitch w:val="default"/>
    <w:sig w:usb0="00000000" w:usb1="00000000" w:usb2="00000000" w:usb3="00000000" w:csb0="0000009F"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HYZhongDengXianKW"/>
    <w:panose1 w:val="00000000000000000000"/>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等线 Light">
    <w:altName w:val="HYZhongDengXianKW"/>
    <w:panose1 w:val="00000000000000000000"/>
    <w:charset w:val="86"/>
    <w:family w:val="roman"/>
    <w:pitch w:val="default"/>
    <w:sig w:usb0="00000000" w:usb1="00000000" w:usb2="00000000" w:usb3="00000000" w:csb0="00000000" w:csb1="00000000"/>
  </w:font>
  <w:font w:name="Yu Gothic Light">
    <w:altName w:val="Hiragino Sans"/>
    <w:panose1 w:val="00000000000000000000"/>
    <w:charset w:val="80"/>
    <w:family w:val="swiss"/>
    <w:pitch w:val="default"/>
    <w:sig w:usb0="00000000" w:usb1="00000000" w:usb2="00000016" w:usb3="00000000" w:csb0="0002009F" w:csb1="00000000"/>
  </w:font>
  <w:font w:name="Hiragino Sans">
    <w:panose1 w:val="020B0300000000000000"/>
    <w:charset w:val="80"/>
    <w:family w:val="auto"/>
    <w:pitch w:val="default"/>
    <w:sig w:usb0="E00002FF" w:usb1="7AE7FFFF" w:usb2="00000012" w:usb3="00000000" w:csb0="0002000D"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HYZhongDengXianKW">
    <w:panose1 w:val="01010104010101010101"/>
    <w:charset w:val="86"/>
    <w:family w:val="auto"/>
    <w:pitch w:val="default"/>
    <w:sig w:usb0="800002BF" w:usb1="004F7CFA" w:usb2="00000000" w:usb3="00000000" w:csb0="00040001" w:csb1="00000000"/>
  </w:font>
  <w:font w:name="等线">
    <w:altName w:val="HYZhongDengXian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rStyle w:val="57"/>
      </w:rPr>
      <w:fldChar w:fldCharType="begin"/>
    </w:r>
    <w:r>
      <w:rPr>
        <w:rStyle w:val="57"/>
      </w:rPr>
      <w:instrText xml:space="preserve"> PAGE </w:instrText>
    </w:r>
    <w:r>
      <w:rPr>
        <w:rStyle w:val="57"/>
      </w:rPr>
      <w:fldChar w:fldCharType="separate"/>
    </w:r>
    <w:r>
      <w:rPr>
        <w:rStyle w:val="57"/>
      </w:rPr>
      <w:t>4</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4</w:t>
    </w:r>
    <w:r>
      <w:rPr>
        <w:rStyle w:val="57"/>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linkStyles/>
  <w:doNotTrackFormatting/>
  <w:attachedTemplate r:id="rId1"/>
  <w:trackRevisions w:val="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53D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24F2"/>
    <w:rsid w:val="008D01C3"/>
    <w:rsid w:val="008D1E13"/>
    <w:rsid w:val="008D6549"/>
    <w:rsid w:val="008D70D2"/>
    <w:rsid w:val="008E4A63"/>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5B0C"/>
    <w:rsid w:val="00B6300F"/>
    <w:rsid w:val="00B70389"/>
    <w:rsid w:val="00B84623"/>
    <w:rsid w:val="00B91CC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3558"/>
    <w:rsid w:val="00DE2A08"/>
    <w:rsid w:val="00DE2B4D"/>
    <w:rsid w:val="00DF1827"/>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2128"/>
    <w:rsid w:val="00F549A3"/>
    <w:rsid w:val="00F55CBF"/>
    <w:rsid w:val="00F72B10"/>
    <w:rsid w:val="00F77359"/>
    <w:rsid w:val="00F86A73"/>
    <w:rsid w:val="00FA58DA"/>
    <w:rsid w:val="00FC345B"/>
    <w:rsid w:val="00FD4E37"/>
    <w:rsid w:val="5FDFDE9E"/>
    <w:rsid w:val="6DAF1EC6"/>
    <w:rsid w:val="7AEFB1A7"/>
    <w:rsid w:val="7FFF46BA"/>
    <w:rsid w:val="9FAF6216"/>
    <w:rsid w:val="AFF9E50C"/>
    <w:rsid w:val="E7DE4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unhideWhenUsed/>
    <w:qFormat/>
    <w:uiPriority w:val="1"/>
  </w:style>
  <w:style w:type="table" w:default="1" w:styleId="58">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13">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14">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15">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16">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17">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18">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19">
    <w:name w:val="annotation subject"/>
    <w:basedOn w:val="18"/>
    <w:next w:val="18"/>
    <w:link w:val="116"/>
    <w:qFormat/>
    <w:uiPriority w:val="0"/>
    <w:rPr>
      <w:b/>
      <w:sz w:val="24"/>
    </w:rPr>
  </w:style>
  <w:style w:type="paragraph" w:styleId="2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21">
    <w:name w:val="footer"/>
    <w:basedOn w:val="22"/>
    <w:link w:val="142"/>
    <w:qFormat/>
    <w:uiPriority w:val="0"/>
    <w:pPr>
      <w:jc w:val="center"/>
    </w:pPr>
    <w:rPr>
      <w:i/>
    </w:rPr>
  </w:style>
  <w:style w:type="paragraph" w:styleId="22">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3">
    <w:name w:val="footnote text"/>
    <w:basedOn w:val="1"/>
    <w:semiHidden/>
    <w:qFormat/>
    <w:uiPriority w:val="0"/>
    <w:pPr>
      <w:keepLines/>
      <w:spacing w:after="0"/>
      <w:ind w:left="454" w:hanging="454"/>
    </w:pPr>
    <w:rPr>
      <w:sz w:val="16"/>
    </w:rPr>
  </w:style>
  <w:style w:type="paragraph" w:styleId="24">
    <w:name w:val="index 1"/>
    <w:basedOn w:val="1"/>
    <w:next w:val="1"/>
    <w:qFormat/>
    <w:uiPriority w:val="0"/>
    <w:pPr>
      <w:keepLines/>
      <w:spacing w:after="0"/>
    </w:pPr>
  </w:style>
  <w:style w:type="paragraph" w:styleId="25">
    <w:name w:val="index 2"/>
    <w:basedOn w:val="24"/>
    <w:next w:val="1"/>
    <w:qFormat/>
    <w:uiPriority w:val="0"/>
    <w:pPr>
      <w:ind w:left="284"/>
    </w:pPr>
  </w:style>
  <w:style w:type="paragraph" w:styleId="26">
    <w:name w:val="List"/>
    <w:basedOn w:val="1"/>
    <w:qFormat/>
    <w:uiPriority w:val="0"/>
    <w:pPr>
      <w:ind w:left="568" w:hanging="284"/>
    </w:pPr>
  </w:style>
  <w:style w:type="paragraph" w:styleId="27">
    <w:name w:val="List 2"/>
    <w:basedOn w:val="26"/>
    <w:qFormat/>
    <w:uiPriority w:val="0"/>
    <w:pPr>
      <w:ind w:left="851"/>
    </w:pPr>
  </w:style>
  <w:style w:type="paragraph" w:styleId="28">
    <w:name w:val="List 3"/>
    <w:basedOn w:val="27"/>
    <w:qFormat/>
    <w:uiPriority w:val="0"/>
    <w:pPr>
      <w:ind w:left="1135"/>
    </w:pPr>
  </w:style>
  <w:style w:type="paragraph" w:styleId="29">
    <w:name w:val="List 4"/>
    <w:basedOn w:val="28"/>
    <w:qFormat/>
    <w:uiPriority w:val="0"/>
    <w:pPr>
      <w:ind w:left="1418"/>
    </w:pPr>
  </w:style>
  <w:style w:type="paragraph" w:styleId="30">
    <w:name w:val="List 5"/>
    <w:basedOn w:val="29"/>
    <w:qFormat/>
    <w:uiPriority w:val="0"/>
    <w:pPr>
      <w:ind w:left="1702"/>
    </w:pPr>
  </w:style>
  <w:style w:type="paragraph" w:styleId="31">
    <w:name w:val="List Bullet"/>
    <w:basedOn w:val="26"/>
    <w:qFormat/>
    <w:uiPriority w:val="0"/>
  </w:style>
  <w:style w:type="paragraph" w:styleId="32">
    <w:name w:val="List Bullet 2"/>
    <w:basedOn w:val="31"/>
    <w:qFormat/>
    <w:uiPriority w:val="0"/>
    <w:pPr>
      <w:ind w:left="851"/>
    </w:pPr>
  </w:style>
  <w:style w:type="paragraph" w:styleId="33">
    <w:name w:val="List Bullet 3"/>
    <w:basedOn w:val="32"/>
    <w:qFormat/>
    <w:uiPriority w:val="0"/>
    <w:pPr>
      <w:ind w:left="1135"/>
    </w:pPr>
  </w:style>
  <w:style w:type="paragraph" w:styleId="34">
    <w:name w:val="List Bullet 4"/>
    <w:basedOn w:val="33"/>
    <w:qFormat/>
    <w:uiPriority w:val="0"/>
    <w:pPr>
      <w:ind w:left="1418"/>
    </w:pPr>
  </w:style>
  <w:style w:type="paragraph" w:styleId="35">
    <w:name w:val="List Bullet 5"/>
    <w:basedOn w:val="34"/>
    <w:qFormat/>
    <w:uiPriority w:val="0"/>
    <w:pPr>
      <w:ind w:left="1702"/>
    </w:pPr>
  </w:style>
  <w:style w:type="paragraph" w:styleId="36">
    <w:name w:val="List Number"/>
    <w:basedOn w:val="26"/>
    <w:qFormat/>
    <w:uiPriority w:val="0"/>
  </w:style>
  <w:style w:type="paragraph" w:styleId="37">
    <w:name w:val="List Number 2"/>
    <w:basedOn w:val="36"/>
    <w:qFormat/>
    <w:uiPriority w:val="0"/>
    <w:pPr>
      <w:ind w:left="851"/>
    </w:pPr>
  </w:style>
  <w:style w:type="paragraph" w:styleId="3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39">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40">
    <w:name w:val="table of figures"/>
    <w:basedOn w:val="41"/>
    <w:next w:val="1"/>
    <w:qFormat/>
    <w:uiPriority w:val="0"/>
    <w:pPr>
      <w:keepNext w:val="0"/>
      <w:keepLines w:val="0"/>
      <w:widowControl/>
      <w:tabs>
        <w:tab w:val="right" w:leader="dot" w:pos="9360"/>
        <w:tab w:val="right" w:leader="dot" w:pos="9639"/>
      </w:tabs>
      <w:overflowPunct/>
      <w:autoSpaceDE/>
      <w:autoSpaceDN/>
      <w:adjustRightInd/>
      <w:spacing w:after="120"/>
      <w:ind w:left="0" w:right="0" w:firstLine="0"/>
      <w:textAlignment w:val="auto"/>
    </w:pPr>
    <w:rPr>
      <w:rFonts w:eastAsia="MS Gothic"/>
      <w:caps/>
      <w:sz w:val="24"/>
      <w:lang w:eastAsia="ja-JP"/>
    </w:rPr>
  </w:style>
  <w:style w:type="paragraph" w:styleId="4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2">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43">
    <w:name w:val="toc 2"/>
    <w:basedOn w:val="41"/>
    <w:next w:val="1"/>
    <w:qFormat/>
    <w:uiPriority w:val="0"/>
    <w:pPr>
      <w:keepNext w:val="0"/>
      <w:spacing w:before="0"/>
      <w:ind w:left="851" w:hanging="851"/>
    </w:pPr>
    <w:rPr>
      <w:sz w:val="20"/>
    </w:rPr>
  </w:style>
  <w:style w:type="paragraph" w:styleId="44">
    <w:name w:val="toc 3"/>
    <w:basedOn w:val="43"/>
    <w:next w:val="1"/>
    <w:qFormat/>
    <w:uiPriority w:val="0"/>
    <w:pPr>
      <w:ind w:left="1134" w:hanging="1134"/>
    </w:pPr>
  </w:style>
  <w:style w:type="paragraph" w:styleId="45">
    <w:name w:val="toc 4"/>
    <w:basedOn w:val="44"/>
    <w:next w:val="1"/>
    <w:qFormat/>
    <w:uiPriority w:val="0"/>
    <w:pPr>
      <w:ind w:left="1418" w:hanging="1418"/>
    </w:pPr>
  </w:style>
  <w:style w:type="paragraph" w:styleId="46">
    <w:name w:val="toc 5"/>
    <w:basedOn w:val="45"/>
    <w:next w:val="1"/>
    <w:qFormat/>
    <w:uiPriority w:val="0"/>
    <w:pPr>
      <w:ind w:left="1701" w:hanging="1701"/>
    </w:pPr>
  </w:style>
  <w:style w:type="paragraph" w:styleId="47">
    <w:name w:val="toc 6"/>
    <w:basedOn w:val="46"/>
    <w:next w:val="1"/>
    <w:qFormat/>
    <w:uiPriority w:val="0"/>
    <w:pPr>
      <w:ind w:left="1985" w:hanging="1985"/>
    </w:pPr>
  </w:style>
  <w:style w:type="paragraph" w:styleId="48">
    <w:name w:val="toc 7"/>
    <w:basedOn w:val="47"/>
    <w:next w:val="1"/>
    <w:qFormat/>
    <w:uiPriority w:val="0"/>
    <w:pPr>
      <w:ind w:left="2268" w:hanging="2268"/>
    </w:pPr>
  </w:style>
  <w:style w:type="paragraph" w:styleId="49">
    <w:name w:val="toc 8"/>
    <w:basedOn w:val="41"/>
    <w:next w:val="1"/>
    <w:qFormat/>
    <w:uiPriority w:val="0"/>
    <w:pPr>
      <w:spacing w:before="180"/>
      <w:ind w:left="2693" w:hanging="2693"/>
    </w:pPr>
    <w:rPr>
      <w:b/>
    </w:rPr>
  </w:style>
  <w:style w:type="paragraph" w:styleId="50">
    <w:name w:val="toc 9"/>
    <w:basedOn w:val="49"/>
    <w:next w:val="1"/>
    <w:qFormat/>
    <w:uiPriority w:val="0"/>
    <w:pPr>
      <w:ind w:left="1418" w:hanging="1418"/>
    </w:pPr>
  </w:style>
  <w:style w:type="character" w:styleId="52">
    <w:name w:val="annotation reference"/>
    <w:qFormat/>
    <w:uiPriority w:val="0"/>
    <w:rPr>
      <w:rFonts w:eastAsia="Times New Roman"/>
      <w:kern w:val="2"/>
      <w:sz w:val="16"/>
      <w:lang w:val="en-GB"/>
    </w:rPr>
  </w:style>
  <w:style w:type="character" w:styleId="53">
    <w:name w:val="Emphasis"/>
    <w:basedOn w:val="51"/>
    <w:qFormat/>
    <w:uiPriority w:val="0"/>
    <w:rPr>
      <w:i/>
      <w:iCs/>
    </w:rPr>
  </w:style>
  <w:style w:type="character" w:styleId="54">
    <w:name w:val="FollowedHyperlink"/>
    <w:qFormat/>
    <w:uiPriority w:val="0"/>
    <w:rPr>
      <w:color w:val="800080"/>
      <w:u w:val="single"/>
    </w:rPr>
  </w:style>
  <w:style w:type="character" w:styleId="55">
    <w:name w:val="footnote reference"/>
    <w:basedOn w:val="51"/>
    <w:semiHidden/>
    <w:qFormat/>
    <w:uiPriority w:val="0"/>
    <w:rPr>
      <w:b/>
      <w:position w:val="6"/>
      <w:sz w:val="16"/>
    </w:rPr>
  </w:style>
  <w:style w:type="character" w:styleId="56">
    <w:name w:val="Hyperlink"/>
    <w:qFormat/>
    <w:uiPriority w:val="0"/>
    <w:rPr>
      <w:color w:val="0000FF"/>
      <w:u w:val="single"/>
    </w:rPr>
  </w:style>
  <w:style w:type="character" w:styleId="57">
    <w:name w:val="page number"/>
    <w:basedOn w:val="51"/>
    <w:qFormat/>
    <w:uiPriority w:val="0"/>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26"/>
    <w:link w:val="135"/>
    <w:qFormat/>
    <w:uiPriority w:val="0"/>
  </w:style>
  <w:style w:type="paragraph" w:customStyle="1" w:styleId="88">
    <w:name w:val="B2"/>
    <w:basedOn w:val="27"/>
    <w:qFormat/>
    <w:uiPriority w:val="0"/>
  </w:style>
  <w:style w:type="paragraph" w:customStyle="1" w:styleId="89">
    <w:name w:val="B3"/>
    <w:basedOn w:val="28"/>
    <w:qFormat/>
    <w:uiPriority w:val="0"/>
  </w:style>
  <w:style w:type="paragraph" w:customStyle="1" w:styleId="90">
    <w:name w:val="B4"/>
    <w:basedOn w:val="29"/>
    <w:qFormat/>
    <w:uiPriority w:val="0"/>
  </w:style>
  <w:style w:type="paragraph" w:customStyle="1" w:styleId="91">
    <w:name w:val="B5"/>
    <w:basedOn w:val="30"/>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13"/>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13"/>
    <w:qFormat/>
    <w:uiPriority w:val="0"/>
    <w:rPr>
      <w:rFonts w:eastAsia="MS Gothic"/>
      <w:sz w:val="24"/>
      <w:lang w:val="en-GB"/>
    </w:rPr>
  </w:style>
  <w:style w:type="character" w:customStyle="1" w:styleId="95">
    <w:name w:val="正文文本缩进 Char"/>
    <w:link w:val="15"/>
    <w:qFormat/>
    <w:uiPriority w:val="0"/>
    <w:rPr>
      <w:rFonts w:eastAsia="MS Gothic"/>
      <w:sz w:val="24"/>
      <w:lang w:val="en-GB"/>
    </w:rPr>
  </w:style>
  <w:style w:type="character" w:customStyle="1" w:styleId="96">
    <w:name w:val="文档结构图 Char"/>
    <w:link w:val="20"/>
    <w:qFormat/>
    <w:uiPriority w:val="0"/>
    <w:rPr>
      <w:rFonts w:ascii="Tahoma" w:hAnsi="Tahoma" w:eastAsia="MS Gothic"/>
      <w:sz w:val="24"/>
      <w:shd w:val="clear" w:color="auto" w:fill="000080"/>
      <w:lang w:val="en-GB"/>
    </w:rPr>
  </w:style>
  <w:style w:type="character" w:customStyle="1" w:styleId="97">
    <w:name w:val="纯文本 Char"/>
    <w:link w:val="39"/>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16"/>
    <w:qFormat/>
    <w:uiPriority w:val="0"/>
    <w:rPr>
      <w:rFonts w:eastAsia="MS Gothic"/>
      <w:kern w:val="2"/>
      <w:sz w:val="24"/>
      <w:lang w:val="en-GB"/>
    </w:rPr>
  </w:style>
  <w:style w:type="paragraph" w:customStyle="1" w:styleId="101">
    <w:name w:val="List Bullet Last"/>
    <w:basedOn w:val="31"/>
    <w:next w:val="13"/>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2"/>
    <w:qFormat/>
    <w:uiPriority w:val="0"/>
    <w:rPr>
      <w:rFonts w:ascii="Arial" w:hAnsi="Arial" w:eastAsia="MS Gothic"/>
      <w:b/>
      <w:sz w:val="24"/>
      <w:lang w:val="en-GB"/>
    </w:rPr>
  </w:style>
  <w:style w:type="character" w:customStyle="1" w:styleId="104">
    <w:name w:val="正文文本 3 Char"/>
    <w:link w:val="14"/>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1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12"/>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18"/>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19"/>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SimSun"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22"/>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customStyle="1"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SimSun"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Char"/>
    <w:link w:val="21"/>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15"/>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en-GB"/>
    </w:rPr>
  </w:style>
  <w:style w:type="character" w:customStyle="1" w:styleId="147">
    <w:name w:val="标题 6 Char"/>
    <w:basedOn w:val="51"/>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atwing/Library/Containers/com.kingsoft.wpsoffice.mac/Data/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1221</Words>
  <Characters>6960</Characters>
  <Lines>58</Lines>
  <Paragraphs>16</Paragraphs>
  <ScaleCrop>false</ScaleCrop>
  <LinksUpToDate>false</LinksUpToDate>
  <CharactersWithSpaces>8165</CharactersWithSpaces>
  <Application>WPS Office_1.7.0.2619_F1E327BC-269C-435d-A152-05C5408002CA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2018-11-21T14:54:00Z</dcterms:created>
  <dc:creator>Joern Krause</dc:creator>
  <cp:lastModifiedBy>Shuang Li</cp:lastModifiedBy>
  <dcterms:modified xsi:type="dcterms:W3CDTF">2019-11-29T15:01:58Z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(2)JEeZ83A9dy4edMcgdtxagPyllKorLNn7bYmXrBz9BxHrTXlLJXMHPtEYria9ywQxK76JrNDA
oQeFTouM/DOKLVzcL5XTWeUY3iGOLCng7l3PUMDbX696T9TjpImIlLKYDvRhTI4G1J+0xrS7
JOKEKlocfD1YjokyaOb7IV8UMu0rB0TF+vIuCCaxpLKJattQrkiKJqJ1g153XsGxsKK7SVqc
X0H7YpwDpsDp2H5uxF</vt:lpwstr>
  </property>
  <property fmtid="{D5CDD505-2E9C-101B-9397-08002B2CF9AE}" pid="11" name="_2015_ms_pID_7253431">
    <vt:lpwstr>JGipMEXinhb0BUDGLWtOhoUpntx7Ltu/E65ZSlQjXbJiI639SL2cty
XukkChnjoRHw1cekvBQgdICWQLrujCt2T7MTq8o75Bn3VE9D1i00es2R0v4cWCJHy/nwVYJa
a96zY44oi3sjNiv9AWFVNxHWjStD2CPq7t1/UHb6nmFtrhc149haslmytexaEUWGEFk=</vt:lpwstr>
  </property>
  <property fmtid="{D5CDD505-2E9C-101B-9397-08002B2CF9AE}" pid="12" name="KSOProductBuildVer">
    <vt:lpwstr>1033-1.7.0.2619</vt:lpwstr>
  </property>
</Properties>
</file>